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390" w:line="259" w:lineRule="auto"/>
        <w:ind w:right="0" w:firstLine="0"/>
      </w:pPr>
      <w:bookmarkStart w:id="0" w:name="_Hlk59472836"/>
      <w:r>
        <w:rPr>
          <w:sz w:val="21"/>
        </w:rPr>
        <w:t xml:space="preserve">附件 </w:t>
      </w:r>
      <w:r>
        <w:rPr>
          <w:rFonts w:hint="eastAsia" w:ascii="Times New Roman" w:hAnsi="Times New Roman" w:eastAsia="宋体" w:cs="Times New Roman"/>
          <w:sz w:val="21"/>
          <w:lang w:val="en-US" w:eastAsia="zh-CN"/>
        </w:rPr>
        <w:t>4</w:t>
      </w:r>
      <w:r>
        <w:rPr>
          <w:rFonts w:ascii="Times New Roman" w:hAnsi="Times New Roman" w:eastAsia="Times New Roman" w:cs="Times New Roman"/>
          <w:sz w:val="21"/>
        </w:rPr>
        <w:t xml:space="preserve"> </w:t>
      </w:r>
    </w:p>
    <w:p>
      <w:pPr>
        <w:pStyle w:val="2"/>
        <w:spacing w:after="1"/>
        <w:ind w:left="0" w:right="121" w:firstLine="0"/>
      </w:pPr>
      <w:r>
        <w:rPr>
          <w:rFonts w:hint="eastAsia"/>
          <w:sz w:val="30"/>
        </w:rPr>
        <w:t>省级部门整体支出绩效自评价情况表</w:t>
      </w:r>
    </w:p>
    <w:p>
      <w:pPr>
        <w:spacing w:after="3" w:line="320" w:lineRule="auto"/>
        <w:ind w:left="284" w:right="2670" w:hanging="10"/>
      </w:pPr>
      <w:r>
        <w:rPr>
          <w:rFonts w:ascii="宋体" w:hAnsi="宋体" w:eastAsia="宋体" w:cs="宋体"/>
          <w:sz w:val="18"/>
        </w:rPr>
        <w:t>填报单位：</w:t>
      </w:r>
      <w:r>
        <w:rPr>
          <w:rFonts w:hint="eastAsia" w:ascii="宋体" w:hAnsi="宋体" w:eastAsia="宋体" w:cs="宋体"/>
          <w:sz w:val="18"/>
          <w:u w:val="single"/>
        </w:rPr>
        <w:t>南京信息工程大学</w:t>
      </w:r>
    </w:p>
    <w:p>
      <w:pPr>
        <w:spacing w:after="57" w:line="259" w:lineRule="auto"/>
        <w:ind w:left="284" w:right="0" w:hanging="10"/>
        <w:rPr>
          <w:u w:val="single"/>
        </w:rPr>
      </w:pPr>
      <w:r>
        <w:rPr>
          <w:rFonts w:ascii="宋体" w:hAnsi="宋体" w:eastAsia="宋体" w:cs="宋体"/>
          <w:sz w:val="18"/>
        </w:rPr>
        <w:t>实施年度：</w:t>
      </w:r>
      <w:r>
        <w:rPr>
          <w:rFonts w:hint="eastAsia" w:ascii="宋体" w:hAnsi="宋体" w:eastAsia="宋体" w:cs="宋体"/>
          <w:sz w:val="18"/>
          <w:u w:val="single"/>
        </w:rPr>
        <w:t xml:space="preserve">    2021   </w:t>
      </w:r>
      <w:r>
        <w:rPr>
          <w:rFonts w:ascii="宋体" w:hAnsi="宋体" w:eastAsia="宋体" w:cs="宋体"/>
          <w:sz w:val="18"/>
        </w:rPr>
        <w:t>实施开始时间（年/月）：</w:t>
      </w:r>
      <w:r>
        <w:rPr>
          <w:rFonts w:hint="eastAsia" w:ascii="宋体" w:hAnsi="宋体" w:eastAsia="宋体" w:cs="宋体"/>
          <w:sz w:val="18"/>
          <w:u w:val="single"/>
        </w:rPr>
        <w:t xml:space="preserve">   2021.1.01   </w:t>
      </w:r>
      <w:r>
        <w:rPr>
          <w:rFonts w:ascii="宋体" w:hAnsi="宋体" w:eastAsia="宋体" w:cs="宋体"/>
          <w:sz w:val="18"/>
        </w:rPr>
        <w:t>实施完成时间</w:t>
      </w:r>
      <w:r>
        <w:rPr>
          <w:rFonts w:hint="eastAsia" w:ascii="宋体" w:hAnsi="宋体" w:eastAsia="宋体" w:cs="宋体"/>
          <w:sz w:val="18"/>
        </w:rPr>
        <w:t>：</w:t>
      </w:r>
      <w:r>
        <w:rPr>
          <w:rFonts w:hint="eastAsia" w:ascii="宋体" w:hAnsi="宋体" w:eastAsia="宋体" w:cs="宋体"/>
          <w:sz w:val="18"/>
          <w:u w:val="single"/>
        </w:rPr>
        <w:t xml:space="preserve">  2021.12.31  </w:t>
      </w:r>
    </w:p>
    <w:p>
      <w:pPr>
        <w:pBdr>
          <w:top w:val="single" w:color="000000" w:sz="4" w:space="0"/>
          <w:left w:val="single" w:color="000000" w:sz="4" w:space="0"/>
          <w:bottom w:val="single" w:color="000000" w:sz="4" w:space="7"/>
          <w:right w:val="single" w:color="000000" w:sz="4" w:space="0"/>
        </w:pBdr>
        <w:spacing w:after="0" w:line="259" w:lineRule="auto"/>
        <w:ind w:left="386" w:right="0" w:firstLine="0"/>
        <w:jc w:val="center"/>
        <w:rPr>
          <w:rFonts w:ascii="黑体" w:hAnsi="黑体" w:eastAsia="黑体" w:cs="黑体"/>
          <w:sz w:val="24"/>
        </w:rPr>
      </w:pP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center"/>
        <w:rPr>
          <w:rFonts w:ascii="黑体" w:hAnsi="黑体" w:eastAsia="黑体" w:cs="黑体"/>
          <w:sz w:val="24"/>
        </w:rPr>
      </w:pPr>
      <w:r>
        <w:rPr>
          <w:rFonts w:ascii="黑体" w:hAnsi="黑体" w:eastAsia="黑体" w:cs="黑体"/>
          <w:sz w:val="24"/>
        </w:rPr>
        <w:t xml:space="preserve">部门整体支出绩效自评价情况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rPr>
          <w:rFonts w:ascii="宋体" w:hAnsi="宋体" w:eastAsia="宋体" w:cs="宋体"/>
          <w:color w:val="auto"/>
          <w:sz w:val="22"/>
        </w:rPr>
      </w:pPr>
      <w:r>
        <w:rPr>
          <w:rFonts w:hint="eastAsia" w:ascii="宋体" w:hAnsi="宋体" w:eastAsia="宋体" w:cs="宋体"/>
          <w:color w:val="auto"/>
          <w:sz w:val="22"/>
          <w:lang w:val="en-US" w:eastAsia="zh-CN"/>
        </w:rPr>
        <w:t xml:space="preserve">    </w:t>
      </w:r>
      <w:r>
        <w:rPr>
          <w:rFonts w:hint="eastAsia" w:ascii="宋体" w:hAnsi="宋体" w:eastAsia="宋体" w:cs="宋体"/>
          <w:color w:val="auto"/>
          <w:sz w:val="22"/>
        </w:rPr>
        <w:t>一</w:t>
      </w:r>
      <w:r>
        <w:rPr>
          <w:rFonts w:hint="eastAsia" w:ascii="宋体" w:hAnsi="宋体" w:eastAsia="宋体" w:cs="宋体"/>
          <w:sz w:val="21"/>
        </w:rPr>
        <w:t>、</w:t>
      </w:r>
      <w:r>
        <w:rPr>
          <w:rFonts w:hint="eastAsia" w:ascii="宋体" w:hAnsi="宋体" w:eastAsia="宋体" w:cs="宋体"/>
          <w:sz w:val="21"/>
          <w:lang w:val="en-US" w:eastAsia="zh-CN"/>
        </w:rPr>
        <w:t>部门</w:t>
      </w:r>
      <w:r>
        <w:rPr>
          <w:rFonts w:ascii="宋体" w:hAnsi="宋体" w:eastAsia="宋体" w:cs="宋体"/>
          <w:sz w:val="21"/>
        </w:rPr>
        <w:t>概况</w:t>
      </w:r>
    </w:p>
    <w:p>
      <w:pPr>
        <w:pBdr>
          <w:top w:val="single" w:color="000000" w:sz="4" w:space="0"/>
          <w:left w:val="single" w:color="000000" w:sz="4" w:space="0"/>
          <w:bottom w:val="single" w:color="000000" w:sz="4" w:space="7"/>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rPr>
        <w:t>学校坚持“开放、协同、特色”发展理念，践行立德树人根本使命，突出政治性、坚持学术性、强化服务性、注重创新性，以助力江苏省构建高质量高等教育体系，推动高等教育强省建设为己任，把握高质量发展主基调。我校</w:t>
      </w:r>
      <w:r>
        <w:rPr>
          <w:rFonts w:ascii="宋体" w:hAnsi="宋体" w:eastAsia="宋体" w:cs="宋体"/>
          <w:color w:val="auto"/>
          <w:sz w:val="22"/>
        </w:rPr>
        <w:t>位列高水平</w:t>
      </w:r>
      <w:r>
        <w:rPr>
          <w:rFonts w:hint="eastAsia" w:ascii="宋体" w:hAnsi="宋体" w:eastAsia="宋体" w:cs="宋体"/>
          <w:color w:val="auto"/>
          <w:sz w:val="22"/>
        </w:rPr>
        <w:t>大学</w:t>
      </w:r>
      <w:r>
        <w:rPr>
          <w:rFonts w:ascii="宋体" w:hAnsi="宋体" w:eastAsia="宋体" w:cs="宋体"/>
          <w:color w:val="auto"/>
          <w:sz w:val="22"/>
        </w:rPr>
        <w:t>建设重点（培育）支持</w:t>
      </w:r>
      <w:r>
        <w:rPr>
          <w:rFonts w:hint="eastAsia" w:ascii="宋体" w:hAnsi="宋体" w:eastAsia="宋体" w:cs="宋体"/>
          <w:color w:val="auto"/>
          <w:sz w:val="22"/>
        </w:rPr>
        <w:t>高校</w:t>
      </w:r>
      <w:r>
        <w:rPr>
          <w:rFonts w:ascii="宋体" w:hAnsi="宋体" w:eastAsia="宋体" w:cs="宋体"/>
          <w:color w:val="auto"/>
          <w:sz w:val="22"/>
        </w:rPr>
        <w:t>、博士学位授权高校类第一等次</w:t>
      </w:r>
      <w:r>
        <w:rPr>
          <w:rFonts w:hint="eastAsia" w:ascii="宋体" w:hAnsi="宋体" w:eastAsia="宋体" w:cs="宋体"/>
          <w:color w:val="auto"/>
          <w:sz w:val="22"/>
        </w:rPr>
        <w:t>。学校持续开拓汇聚办学资源，扩展学科领域和办学空间，建设高层次人才队伍，全面激活内生发展动力，创新谋划发展路径，传承信大精神，提升大学治理能力与治理体系建设，“把握新发展阶段，贯穿新发展理念，推进新发展格局”，关键办学指标和多项事业取得历史性突破，开创了学校各项工作蓬勃发展的新局面。</w:t>
      </w:r>
    </w:p>
    <w:p>
      <w:pPr>
        <w:pBdr>
          <w:top w:val="single" w:color="000000" w:sz="4" w:space="0"/>
          <w:left w:val="single" w:color="000000" w:sz="4" w:space="0"/>
          <w:bottom w:val="single" w:color="000000" w:sz="4" w:space="7"/>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rPr>
        <w:t>（一）党建引领内涵提升。树立“抓好党建促发展”工作思路，以标准化建设为引领，以深入学习宣传贯彻习近平新时代中国特色社会主义思想、健全体制机制、增强班子合力、学习强国平台等为抓手，促进党建水平明显提升。</w:t>
      </w:r>
    </w:p>
    <w:p>
      <w:pPr>
        <w:pBdr>
          <w:top w:val="single" w:color="000000" w:sz="4" w:space="0"/>
          <w:left w:val="single" w:color="000000" w:sz="4" w:space="0"/>
          <w:bottom w:val="single" w:color="000000" w:sz="4" w:space="7"/>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rPr>
        <w:t>（二）提高人才培养质量。承担通过培养人才、科学研究、文化传承、服务社会的大学根本职能，构建多元化教育、教学、人才培养、科学研究、文化传播以及服务社会的职能体系。建设“引才、聚才、用才”师资队伍工程建设新高度。做强一流本科、建设一流专业、培养一流人才，全面振兴本科教育，加强大学生创新创业能力培养，全面提高人才培养质量。建立特色发展、协调发展学科建设新格局，推进学校“双一流”建设水平迈上新台阶。</w:t>
      </w:r>
    </w:p>
    <w:p>
      <w:pPr>
        <w:pBdr>
          <w:top w:val="single" w:color="000000" w:sz="4" w:space="0"/>
          <w:left w:val="single" w:color="000000" w:sz="4" w:space="0"/>
          <w:bottom w:val="single" w:color="000000" w:sz="4" w:space="7"/>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rPr>
        <w:t>（三）持续增强科学研究能力。积极参加国家和地方重点研发项目、基础研究项目工作，推进完善科研管理、提升科研绩效等科技管理体制机制改革，切实落实好“放管服”各项改革要求，积极推进科技成果转化工作，增强服务社会能力。</w:t>
      </w:r>
    </w:p>
    <w:p>
      <w:pPr>
        <w:pBdr>
          <w:top w:val="single" w:color="000000" w:sz="4" w:space="0"/>
          <w:left w:val="single" w:color="000000" w:sz="4" w:space="0"/>
          <w:bottom w:val="single" w:color="000000" w:sz="4" w:space="7"/>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rPr>
        <w:t>（四）提升社会服务能力。集聚智力和人才优势，不断增强服务社会能力，立足自身特色，努力打造一批新型智库，建成一批有较大影响力和国际知名度的高端智库。</w:t>
      </w:r>
    </w:p>
    <w:p>
      <w:pPr>
        <w:pBdr>
          <w:top w:val="single" w:color="000000" w:sz="4" w:space="0"/>
          <w:left w:val="single" w:color="000000" w:sz="4" w:space="0"/>
          <w:bottom w:val="single" w:color="000000" w:sz="4" w:space="7"/>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rPr>
        <w:t>（五）增进国际交流与合作。引鉴国外先进教育理念，积极参与合作办学及科研，大力培养国际化人才，助力学校一流特色研究型大学建设取得新跨越。</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color w:val="auto"/>
          <w:sz w:val="22"/>
        </w:rPr>
        <w:t>（六）扩大社会声誉和影响。以学科建设、教育教学改革、师资队伍、科学研究为抓手，</w:t>
      </w:r>
      <w:r>
        <w:rPr>
          <w:rFonts w:hint="eastAsia" w:ascii="宋体" w:hAnsi="宋体" w:eastAsia="宋体" w:cs="宋体"/>
          <w:sz w:val="21"/>
        </w:rPr>
        <w:t>不断优化办学体系，不断提高人才培养质量，不断提高社会美誉度，为促进经济社会发展、提高国际和国内竞争力输送更多更好的优质人才资源。</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sz w:val="21"/>
        </w:rPr>
        <w:t>（七）服务地方经济发展。利用学校人才和智力资源，为长三角地方社会经济发展服务，增强服务地方经济、改革开放、城乡建设、文化建设、生态环境建设、人民生活等方面高质量发展的能力。</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（八）推进校企深度合作力度。实行工学结合、校企合作的人才培养模式，强化实习实训，促进产教融合</w:t>
      </w:r>
      <w:r>
        <w:rPr>
          <w:rFonts w:hint="eastAsia" w:ascii="宋体" w:hAnsi="宋体" w:eastAsia="宋体" w:cs="宋体"/>
          <w:color w:val="auto"/>
          <w:sz w:val="22"/>
        </w:rPr>
        <w:t>，</w:t>
      </w:r>
      <w:r>
        <w:rPr>
          <w:rFonts w:hint="eastAsia" w:ascii="宋体" w:hAnsi="宋体" w:eastAsia="宋体" w:cs="宋体"/>
          <w:sz w:val="21"/>
        </w:rPr>
        <w:t>主动</w:t>
      </w:r>
      <w:r>
        <w:rPr>
          <w:rFonts w:hint="eastAsia" w:ascii="宋体" w:hAnsi="宋体" w:eastAsia="宋体" w:cs="宋体"/>
          <w:color w:val="auto"/>
          <w:sz w:val="22"/>
        </w:rPr>
        <w:t>与具备条件的</w:t>
      </w:r>
      <w:r>
        <w:rPr>
          <w:rFonts w:hint="eastAsia" w:ascii="宋体" w:hAnsi="宋体" w:eastAsia="宋体" w:cs="宋体"/>
          <w:sz w:val="21"/>
        </w:rPr>
        <w:t>企业</w:t>
      </w:r>
      <w:r>
        <w:rPr>
          <w:rFonts w:hint="eastAsia" w:ascii="宋体" w:hAnsi="宋体" w:eastAsia="宋体" w:cs="宋体"/>
          <w:color w:val="auto"/>
          <w:sz w:val="22"/>
        </w:rPr>
        <w:t>在人才培养、技术创新、就业创业、社会服</w:t>
      </w:r>
      <w:r>
        <w:rPr>
          <w:rFonts w:hint="eastAsia" w:ascii="宋体" w:hAnsi="宋体" w:eastAsia="宋体" w:cs="宋体"/>
          <w:sz w:val="21"/>
        </w:rPr>
        <w:t>务、文化传承等方面开展合作。</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二、评价情况</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sz w:val="21"/>
        </w:rPr>
        <w:t>在资金使用过程中，严格按照财务有关政策要求和管理规定执行，在具体落实过程中，依据学校制度文件合理使用各项经费。参照2021年绩效目标申报表中填报内容，以情况统计法、部门业务统计法等计划标准评价方式为主，结合行业标准、历史标准及其他上级部门认可的标准，进行指标值与完成值的对比。</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sz w:val="21"/>
        </w:rPr>
        <w:t>通过本次绩效评价发现，我校年初设定的</w:t>
      </w:r>
      <w:bookmarkStart w:id="1" w:name="_GoBack"/>
      <w:bookmarkEnd w:id="1"/>
      <w:r>
        <w:rPr>
          <w:rFonts w:hint="eastAsia" w:ascii="宋体" w:hAnsi="宋体" w:eastAsia="宋体" w:cs="宋体"/>
          <w:sz w:val="21"/>
        </w:rPr>
        <w:t>整体绩效指标完成情况良好，部分绩效完成值高于指标值，进一步说明学校重视财政资金使用效率，充分合理安排财政资金完成学校2021年度各项工作，使其平稳有序地开展，既实现预期目标，又为学校高质量发展奠定了坚实基础。另外，个别指标受疫情影响较为明显，这对我校疫情常态化影响</w:t>
      </w:r>
      <w:r>
        <w:rPr>
          <w:rFonts w:hint="eastAsia" w:ascii="宋体" w:hAnsi="宋体" w:eastAsia="宋体" w:cs="宋体"/>
          <w:sz w:val="21"/>
          <w:lang w:val="en-US" w:eastAsia="zh-CN"/>
        </w:rPr>
        <w:t>之</w:t>
      </w:r>
      <w:r>
        <w:rPr>
          <w:rFonts w:hint="eastAsia" w:ascii="宋体" w:hAnsi="宋体" w:eastAsia="宋体" w:cs="宋体"/>
          <w:sz w:val="21"/>
        </w:rPr>
        <w:t>下整合现有资源实现创新提出了重要挑战。</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三、</w:t>
      </w:r>
      <w:r>
        <w:rPr>
          <w:rFonts w:hint="eastAsia" w:ascii="宋体" w:hAnsi="宋体" w:eastAsia="宋体" w:cs="宋体"/>
          <w:sz w:val="21"/>
          <w:lang w:val="en-US" w:eastAsia="zh-CN"/>
        </w:rPr>
        <w:t>主要</w:t>
      </w:r>
      <w:r>
        <w:rPr>
          <w:rFonts w:hint="eastAsia" w:ascii="宋体" w:hAnsi="宋体" w:eastAsia="宋体" w:cs="宋体"/>
          <w:sz w:val="21"/>
        </w:rPr>
        <w:t>绩效</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1.在</w:t>
      </w:r>
      <w:r>
        <w:rPr>
          <w:rFonts w:hint="eastAsia" w:ascii="宋体" w:hAnsi="宋体" w:eastAsia="宋体" w:cs="宋体"/>
          <w:sz w:val="21"/>
          <w:lang w:val="en-US" w:eastAsia="zh-CN"/>
        </w:rPr>
        <w:t>本科生培养</w:t>
      </w:r>
      <w:r>
        <w:rPr>
          <w:rFonts w:hint="eastAsia" w:ascii="宋体" w:hAnsi="宋体" w:eastAsia="宋体" w:cs="宋体"/>
          <w:sz w:val="21"/>
        </w:rPr>
        <w:t>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仿宋_GB2312"/>
          <w:sz w:val="21"/>
          <w:szCs w:val="21"/>
          <w:lang w:val="en-US" w:eastAsia="zh-CN"/>
        </w:rPr>
      </w:pPr>
      <w:r>
        <w:rPr>
          <w:rFonts w:hint="eastAsia" w:ascii="宋体" w:hAnsi="宋体" w:eastAsia="宋体" w:cs="宋体"/>
          <w:sz w:val="21"/>
        </w:rPr>
        <w:t>2021年，学校本科教学改革质量工程成效显著，人工智能产业学院获批教育部首批现代产业学院；气象灾害应急管理学院获批省级重点应急管理学院建设点；新增4个专业通过中国工程教育专业认证、获批省级一流专业15个、新增设本科专业7个；获江苏省教学成果特等奖1项</w:t>
      </w:r>
      <w:r>
        <w:rPr>
          <w:rFonts w:hint="eastAsia" w:ascii="宋体" w:hAnsi="宋体" w:eastAsia="宋体" w:cs="宋体"/>
          <w:sz w:val="21"/>
          <w:lang w:eastAsia="zh-CN"/>
        </w:rPr>
        <w:t>，</w:t>
      </w:r>
      <w:r>
        <w:rPr>
          <w:rFonts w:hint="eastAsia" w:ascii="宋体" w:hAnsi="宋体" w:eastAsia="宋体" w:cs="宋体"/>
          <w:sz w:val="21"/>
        </w:rPr>
        <w:t>一等奖1项，二等奖4项；获批江苏省首批高校虚拟教研室建设培育点1项；获批江苏省首批一流课程41门，江苏省级课程思政示范示范专业1个、课程2门；荣获“全国教材建设先进个人”1人，12部教材入选“十四五”江苏省重点教材建设</w:t>
      </w:r>
      <w:r>
        <w:rPr>
          <w:rFonts w:hint="eastAsia" w:ascii="宋体" w:hAnsi="宋体" w:eastAsia="宋体" w:cs="宋体"/>
          <w:sz w:val="21"/>
          <w:lang w:eastAsia="zh-CN"/>
        </w:rPr>
        <w:t>，</w:t>
      </w:r>
      <w:r>
        <w:rPr>
          <w:rFonts w:hint="eastAsia" w:ascii="宋体" w:hAnsi="宋体" w:eastAsia="宋体" w:cs="宋体"/>
          <w:sz w:val="21"/>
        </w:rPr>
        <w:t>获批省部级教学研究项目176项；入选高博会“校企合作双百计划”典型案例2项；在2020年江苏省普通高等学校本专科优秀毕业设计（论文）评选中19个项目获奖，其中省级一等奖5篇、二等奖4篇、三等奖7篇，省级优秀毕业设计（论文）团队3个；学生获省级及以上各类竞赛奖项2273项，其中国家级奖项677项、省级奖项1596项，获奖人次达3383人次</w:t>
      </w:r>
      <w:r>
        <w:rPr>
          <w:rFonts w:hint="eastAsia" w:ascii="宋体" w:hAnsi="宋体" w:eastAsia="宋体" w:cs="宋体"/>
          <w:sz w:val="21"/>
          <w:lang w:eastAsia="zh-CN"/>
        </w:rPr>
        <w:t>。</w:t>
      </w:r>
      <w:r>
        <w:rPr>
          <w:rFonts w:hint="eastAsia" w:ascii="宋体" w:hAnsi="宋体" w:eastAsia="宋体" w:cs="宋体"/>
          <w:sz w:val="21"/>
          <w:lang w:val="en-US" w:eastAsia="zh-CN"/>
        </w:rPr>
        <w:t>学生</w:t>
      </w:r>
      <w:r>
        <w:rPr>
          <w:rFonts w:ascii="宋体" w:hAnsi="宋体" w:eastAsia="宋体" w:cs="宋体"/>
          <w:sz w:val="21"/>
        </w:rPr>
        <w:t>招生和就业工作</w:t>
      </w:r>
      <w:r>
        <w:rPr>
          <w:rFonts w:hint="eastAsia" w:ascii="宋体" w:hAnsi="宋体" w:eastAsia="宋体" w:cs="宋体"/>
          <w:sz w:val="21"/>
          <w:lang w:val="en-US" w:eastAsia="zh-CN"/>
        </w:rPr>
        <w:t>方面，本科生</w:t>
      </w:r>
      <w:r>
        <w:rPr>
          <w:rFonts w:hint="eastAsia" w:ascii="宋体" w:hAnsi="宋体" w:eastAsia="宋体" w:cs="仿宋_GB2312"/>
          <w:sz w:val="21"/>
          <w:szCs w:val="21"/>
        </w:rPr>
        <w:t>升学率达</w:t>
      </w:r>
      <w:r>
        <w:rPr>
          <w:rFonts w:hint="eastAsia" w:ascii="宋体" w:hAnsi="宋体" w:eastAsia="宋体" w:cs="仿宋_GB2312"/>
          <w:sz w:val="21"/>
          <w:szCs w:val="21"/>
          <w:lang w:val="en-US" w:eastAsia="zh-CN"/>
        </w:rPr>
        <w:t>42.47%，就业率95.33%，均超年初指标值。</w:t>
      </w:r>
    </w:p>
    <w:p>
      <w:pPr>
        <w:numPr>
          <w:ilvl w:val="0"/>
          <w:numId w:val="1"/>
        </w:num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lang w:val="en-US" w:eastAsia="zh-CN"/>
        </w:rPr>
      </w:pPr>
      <w:r>
        <w:rPr>
          <w:rFonts w:hint="eastAsia" w:ascii="宋体" w:hAnsi="宋体" w:eastAsia="宋体" w:cs="仿宋_GB2312"/>
          <w:sz w:val="21"/>
          <w:szCs w:val="21"/>
          <w:lang w:val="en-US" w:eastAsia="zh-CN"/>
        </w:rPr>
        <w:t>在</w:t>
      </w:r>
      <w:r>
        <w:rPr>
          <w:rFonts w:hint="eastAsia" w:ascii="宋体" w:hAnsi="宋体" w:eastAsia="宋体" w:cs="宋体"/>
          <w:sz w:val="21"/>
          <w:lang w:val="en-US" w:eastAsia="zh-CN"/>
        </w:rPr>
        <w:t>研究生培养</w:t>
      </w:r>
      <w:r>
        <w:rPr>
          <w:rFonts w:hint="eastAsia" w:ascii="宋体" w:hAnsi="宋体" w:eastAsia="宋体" w:cs="宋体"/>
          <w:sz w:val="21"/>
        </w:rPr>
        <w:t>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sz w:val="21"/>
          <w:lang w:val="en-US" w:eastAsia="zh-CN"/>
        </w:rPr>
        <w:t>2021年，学校</w:t>
      </w:r>
      <w:r>
        <w:rPr>
          <w:rFonts w:hint="eastAsia" w:ascii="宋体" w:hAnsi="宋体" w:eastAsia="宋体" w:cs="宋体"/>
          <w:sz w:val="21"/>
        </w:rPr>
        <w:t>研究生教育工作综合评价再次获评A等</w:t>
      </w:r>
      <w:r>
        <w:rPr>
          <w:rFonts w:hint="eastAsia" w:ascii="宋体" w:hAnsi="宋体" w:eastAsia="宋体" w:cs="宋体"/>
          <w:sz w:val="21"/>
          <w:lang w:eastAsia="zh-CN"/>
        </w:rPr>
        <w:t>，</w:t>
      </w:r>
      <w:r>
        <w:rPr>
          <w:rFonts w:hint="eastAsia" w:ascii="宋体" w:hAnsi="宋体" w:eastAsia="宋体" w:cs="宋体"/>
          <w:sz w:val="21"/>
        </w:rPr>
        <w:t>新增“江苏省研究生工作站”14个</w:t>
      </w:r>
      <w:r>
        <w:rPr>
          <w:rFonts w:hint="eastAsia" w:ascii="宋体" w:hAnsi="宋体" w:eastAsia="宋体" w:cs="宋体"/>
          <w:sz w:val="21"/>
          <w:lang w:eastAsia="zh-CN"/>
        </w:rPr>
        <w:t>，</w:t>
      </w:r>
      <w:r>
        <w:rPr>
          <w:rFonts w:hint="eastAsia" w:ascii="宋体" w:hAnsi="宋体" w:eastAsia="宋体" w:cs="宋体"/>
          <w:sz w:val="21"/>
        </w:rPr>
        <w:t>承办江苏省研究生学术创新论坛2项</w:t>
      </w:r>
      <w:r>
        <w:rPr>
          <w:rFonts w:hint="eastAsia" w:ascii="宋体" w:hAnsi="宋体" w:eastAsia="宋体" w:cs="宋体"/>
          <w:sz w:val="21"/>
          <w:lang w:eastAsia="zh-CN"/>
        </w:rPr>
        <w:t>，</w:t>
      </w:r>
      <w:r>
        <w:rPr>
          <w:rFonts w:hint="eastAsia" w:ascii="宋体" w:hAnsi="宋体" w:eastAsia="宋体" w:cs="宋体"/>
          <w:sz w:val="21"/>
        </w:rPr>
        <w:t>获批江苏省研究生科研与实践创新计划项目170项</w:t>
      </w:r>
      <w:r>
        <w:rPr>
          <w:rFonts w:hint="eastAsia" w:ascii="宋体" w:hAnsi="宋体" w:eastAsia="宋体" w:cs="宋体"/>
          <w:sz w:val="21"/>
          <w:lang w:eastAsia="zh-CN"/>
        </w:rPr>
        <w:t>；</w:t>
      </w:r>
      <w:r>
        <w:rPr>
          <w:rFonts w:hint="eastAsia" w:ascii="宋体" w:hAnsi="宋体" w:eastAsia="宋体" w:cs="宋体"/>
          <w:sz w:val="21"/>
        </w:rPr>
        <w:t>新增学位点11个</w:t>
      </w:r>
      <w:r>
        <w:rPr>
          <w:rFonts w:hint="eastAsia" w:ascii="宋体" w:hAnsi="宋体" w:eastAsia="宋体" w:cs="宋体"/>
          <w:sz w:val="21"/>
          <w:lang w:eastAsia="zh-CN"/>
        </w:rPr>
        <w:t>，</w:t>
      </w:r>
      <w:r>
        <w:rPr>
          <w:rFonts w:hint="eastAsia" w:ascii="宋体" w:hAnsi="宋体" w:eastAsia="宋体" w:cs="宋体"/>
          <w:sz w:val="21"/>
        </w:rPr>
        <w:t>获批增列1个博士学位授权一级学科</w:t>
      </w:r>
      <w:r>
        <w:rPr>
          <w:rFonts w:hint="eastAsia" w:ascii="宋体" w:hAnsi="宋体" w:eastAsia="宋体" w:cs="宋体"/>
          <w:sz w:val="21"/>
          <w:lang w:eastAsia="zh-CN"/>
        </w:rPr>
        <w:t>，</w:t>
      </w:r>
      <w:r>
        <w:rPr>
          <w:rFonts w:hint="eastAsia" w:ascii="宋体" w:hAnsi="宋体" w:eastAsia="宋体" w:cs="宋体"/>
          <w:sz w:val="21"/>
        </w:rPr>
        <w:t>2个博士学位授权交叉学科</w:t>
      </w:r>
      <w:r>
        <w:rPr>
          <w:rFonts w:hint="eastAsia" w:ascii="宋体" w:hAnsi="宋体" w:eastAsia="宋体" w:cs="宋体"/>
          <w:sz w:val="21"/>
          <w:lang w:eastAsia="zh-CN"/>
        </w:rPr>
        <w:t>，</w:t>
      </w:r>
      <w:r>
        <w:rPr>
          <w:rFonts w:hint="eastAsia" w:ascii="宋体" w:hAnsi="宋体" w:eastAsia="宋体" w:cs="宋体"/>
          <w:sz w:val="21"/>
        </w:rPr>
        <w:t>1个硕士学位授权一级学科</w:t>
      </w:r>
      <w:r>
        <w:rPr>
          <w:rFonts w:hint="eastAsia" w:ascii="宋体" w:hAnsi="宋体" w:eastAsia="宋体" w:cs="宋体"/>
          <w:sz w:val="21"/>
          <w:lang w:eastAsia="zh-CN"/>
        </w:rPr>
        <w:t>，</w:t>
      </w:r>
      <w:r>
        <w:rPr>
          <w:rFonts w:hint="eastAsia" w:ascii="宋体" w:hAnsi="宋体" w:eastAsia="宋体" w:cs="宋体"/>
          <w:sz w:val="21"/>
        </w:rPr>
        <w:t>5个硕士专业学位类别；动态调整增列2个硕士学位授权一级学科</w:t>
      </w:r>
      <w:r>
        <w:rPr>
          <w:rFonts w:hint="eastAsia" w:ascii="宋体" w:hAnsi="宋体" w:eastAsia="宋体" w:cs="宋体"/>
          <w:sz w:val="21"/>
          <w:lang w:eastAsia="zh-CN"/>
        </w:rPr>
        <w:t>。</w:t>
      </w:r>
      <w:r>
        <w:rPr>
          <w:rFonts w:hint="eastAsia" w:ascii="宋体" w:hAnsi="宋体" w:eastAsia="宋体" w:cs="宋体"/>
          <w:sz w:val="21"/>
        </w:rPr>
        <w:t>我校研究生首次实现赴国际组织实习的突破，并获得国家留学基金委资助</w:t>
      </w:r>
      <w:r>
        <w:rPr>
          <w:rFonts w:hint="eastAsia" w:ascii="宋体" w:hAnsi="宋体" w:eastAsia="宋体" w:cs="宋体"/>
          <w:sz w:val="21"/>
          <w:lang w:eastAsia="zh-CN"/>
        </w:rPr>
        <w:t>；</w:t>
      </w:r>
      <w:r>
        <w:rPr>
          <w:rFonts w:hint="eastAsia" w:ascii="宋体" w:hAnsi="宋体" w:eastAsia="宋体" w:cs="宋体"/>
          <w:sz w:val="21"/>
        </w:rPr>
        <w:t>30名研究生获批国家建设高水平大学公派研究生项目资助</w:t>
      </w:r>
      <w:r>
        <w:rPr>
          <w:rFonts w:hint="eastAsia" w:ascii="宋体" w:hAnsi="宋体" w:eastAsia="宋体" w:cs="宋体"/>
          <w:sz w:val="21"/>
          <w:lang w:eastAsia="zh-CN"/>
        </w:rPr>
        <w:t>；</w:t>
      </w:r>
      <w:r>
        <w:rPr>
          <w:rFonts w:hint="eastAsia" w:ascii="宋体" w:hAnsi="宋体" w:eastAsia="宋体" w:cs="宋体"/>
          <w:sz w:val="21"/>
        </w:rPr>
        <w:t>获评省优秀博士学位论文2篇、优秀学术型硕士学位论文3篇、优秀专业学位硕士学位论文3篇</w:t>
      </w:r>
      <w:r>
        <w:rPr>
          <w:rFonts w:hint="eastAsia" w:ascii="宋体" w:hAnsi="宋体" w:eastAsia="宋体" w:cs="宋体"/>
          <w:sz w:val="21"/>
          <w:lang w:eastAsia="zh-CN"/>
        </w:rPr>
        <w:t>；</w:t>
      </w:r>
      <w:r>
        <w:rPr>
          <w:rFonts w:hint="eastAsia" w:ascii="宋体" w:hAnsi="宋体" w:eastAsia="宋体" w:cs="宋体"/>
          <w:sz w:val="21"/>
        </w:rPr>
        <w:t>我校研究生获国家级竞赛奖项88项，获得省部级以上奖励268人次。2021年我校硕士研究生报考9868人，录取2391人。</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color w:val="auto"/>
          <w:sz w:val="22"/>
        </w:rPr>
      </w:pPr>
      <w:r>
        <w:rPr>
          <w:rFonts w:hint="eastAsia" w:ascii="宋体" w:hAnsi="宋体" w:eastAsia="宋体" w:cs="宋体"/>
          <w:color w:val="auto"/>
          <w:sz w:val="22"/>
          <w:lang w:val="en-US" w:eastAsia="zh-CN"/>
        </w:rPr>
        <w:t>3</w:t>
      </w:r>
      <w:r>
        <w:rPr>
          <w:rFonts w:hint="eastAsia" w:ascii="宋体" w:hAnsi="宋体" w:eastAsia="宋体" w:cs="宋体"/>
          <w:color w:val="auto"/>
          <w:sz w:val="22"/>
        </w:rPr>
        <w:t>.在科学研究方面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color w:val="auto"/>
          <w:sz w:val="22"/>
        </w:rPr>
      </w:pPr>
      <w:r>
        <w:rPr>
          <w:rFonts w:hint="eastAsia" w:ascii="宋体" w:hAnsi="宋体" w:eastAsia="宋体" w:cs="宋体"/>
          <w:color w:val="auto"/>
          <w:sz w:val="22"/>
        </w:rPr>
        <w:t>2021年，</w:t>
      </w:r>
      <w:r>
        <w:rPr>
          <w:rFonts w:hint="eastAsia" w:ascii="宋体" w:hAnsi="宋体" w:eastAsia="宋体" w:cs="宋体"/>
          <w:color w:val="auto"/>
          <w:sz w:val="22"/>
          <w:lang w:val="en-US" w:eastAsia="zh-CN"/>
        </w:rPr>
        <w:t>我校</w:t>
      </w:r>
      <w:r>
        <w:rPr>
          <w:rFonts w:hint="eastAsia" w:ascii="宋体" w:hAnsi="宋体" w:eastAsia="宋体" w:cs="宋体"/>
          <w:color w:val="auto"/>
          <w:sz w:val="22"/>
        </w:rPr>
        <w:t>省部级平台16个，申报水利部重点实验室1个</w:t>
      </w:r>
      <w:r>
        <w:rPr>
          <w:rFonts w:hint="eastAsia" w:ascii="宋体" w:hAnsi="宋体" w:eastAsia="宋体" w:cs="宋体"/>
          <w:color w:val="auto"/>
          <w:sz w:val="22"/>
          <w:lang w:eastAsia="zh-CN"/>
        </w:rPr>
        <w:t>，</w:t>
      </w:r>
      <w:r>
        <w:rPr>
          <w:rFonts w:hint="eastAsia" w:ascii="宋体" w:hAnsi="宋体" w:eastAsia="宋体" w:cs="宋体"/>
          <w:color w:val="auto"/>
          <w:sz w:val="22"/>
        </w:rPr>
        <w:t>中国科协全国科普教育基地1个；新增国家级项目177项，其中重点类项目15项，新增省部级项目59项；发表高水平论文1</w:t>
      </w:r>
      <w:r>
        <w:rPr>
          <w:rFonts w:hint="eastAsia" w:ascii="宋体" w:hAnsi="宋体" w:eastAsia="宋体" w:cs="宋体"/>
          <w:color w:val="auto"/>
          <w:sz w:val="22"/>
          <w:lang w:val="en-US" w:eastAsia="zh-CN"/>
        </w:rPr>
        <w:t>521</w:t>
      </w:r>
      <w:r>
        <w:rPr>
          <w:rFonts w:hint="eastAsia" w:ascii="宋体" w:hAnsi="宋体" w:eastAsia="宋体" w:cs="宋体"/>
          <w:color w:val="auto"/>
          <w:sz w:val="22"/>
        </w:rPr>
        <w:t>篇；新增省部级奖项9项，其中一等奖4项；开展科普基地活动14场次，科技展社会公众参与度达44000人次；</w:t>
      </w:r>
      <w:r>
        <w:rPr>
          <w:rFonts w:hint="eastAsia" w:ascii="宋体" w:hAnsi="宋体" w:eastAsia="宋体" w:cs="宋体"/>
          <w:color w:val="auto"/>
          <w:sz w:val="22"/>
          <w:lang w:val="en-US" w:eastAsia="zh-CN"/>
        </w:rPr>
        <w:t>新增纵向科研经费23314.59万元，</w:t>
      </w:r>
      <w:r>
        <w:rPr>
          <w:rFonts w:hint="eastAsia" w:ascii="宋体" w:hAnsi="宋体" w:eastAsia="宋体" w:cs="宋体"/>
          <w:color w:val="auto"/>
          <w:sz w:val="22"/>
        </w:rPr>
        <w:t>军工科研到账经费较去年同期增长47.33%。江苏高校哲学社会科学研究成果奖评选中，我校有</w:t>
      </w:r>
      <w:r>
        <w:rPr>
          <w:rFonts w:ascii="宋体" w:hAnsi="宋体" w:eastAsia="宋体" w:cs="宋体"/>
          <w:color w:val="auto"/>
          <w:sz w:val="22"/>
        </w:rPr>
        <w:t>10</w:t>
      </w:r>
      <w:r>
        <w:rPr>
          <w:rFonts w:hint="eastAsia" w:ascii="宋体" w:hAnsi="宋体" w:eastAsia="宋体" w:cs="宋体"/>
          <w:color w:val="auto"/>
          <w:sz w:val="22"/>
        </w:rPr>
        <w:t>项成果获奖，并首次获得一等奖</w:t>
      </w:r>
      <w:r>
        <w:rPr>
          <w:rFonts w:ascii="宋体" w:hAnsi="宋体" w:eastAsia="宋体" w:cs="宋体"/>
          <w:color w:val="auto"/>
          <w:sz w:val="22"/>
        </w:rPr>
        <w:t>1</w:t>
      </w:r>
      <w:r>
        <w:rPr>
          <w:rFonts w:hint="eastAsia" w:ascii="宋体" w:hAnsi="宋体" w:eastAsia="宋体" w:cs="宋体"/>
          <w:color w:val="auto"/>
          <w:sz w:val="22"/>
        </w:rPr>
        <w:t>项。我校授权专利765件，其中发明专利200件，发明专利授权数及增长率已超远超年初目标。但因从2018年起，国家对专利授权审查趋于严格，总体授权率下降很多，我校专利授权数也受到影响。2021年专利授权数和2020年基本持平，发明专利授权数显著增加，同比增长40%，专利转化收益也逐步提升。</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lang w:val="en-US" w:eastAsia="zh-CN"/>
        </w:rPr>
        <w:t>4.</w:t>
      </w:r>
      <w:r>
        <w:rPr>
          <w:rFonts w:hint="eastAsia" w:ascii="宋体" w:hAnsi="宋体" w:eastAsia="宋体" w:cs="宋体"/>
          <w:color w:val="auto"/>
          <w:sz w:val="22"/>
        </w:rPr>
        <w:t>在学科建设方面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sz w:val="21"/>
          <w:lang w:val="en-US" w:eastAsia="zh-CN"/>
        </w:rPr>
        <w:t>2021年，高等教育评价专业机构软科排名中，</w:t>
      </w:r>
      <w:r>
        <w:rPr>
          <w:rFonts w:hint="eastAsia" w:ascii="宋体" w:hAnsi="宋体" w:eastAsia="宋体" w:cs="宋体"/>
          <w:sz w:val="21"/>
        </w:rPr>
        <w:t>我校大气科学连续五年蝉联全国第一</w:t>
      </w:r>
      <w:r>
        <w:rPr>
          <w:rFonts w:hint="eastAsia" w:ascii="宋体" w:hAnsi="宋体" w:eastAsia="宋体" w:cs="宋体"/>
          <w:sz w:val="21"/>
          <w:lang w:eastAsia="zh-CN"/>
        </w:rPr>
        <w:t>；</w:t>
      </w:r>
      <w:r>
        <w:rPr>
          <w:rFonts w:hint="eastAsia" w:ascii="宋体" w:hAnsi="宋体" w:eastAsia="宋体" w:cs="宋体"/>
          <w:sz w:val="21"/>
        </w:rPr>
        <w:t>“十三五”省重点学科：马克思主义理论、科学技术史、控制科学与工程通过终期验收，其中控制科学与工程学科验收结果为“优秀”</w:t>
      </w:r>
      <w:r>
        <w:rPr>
          <w:rFonts w:hint="eastAsia" w:ascii="宋体" w:hAnsi="宋体" w:eastAsia="宋体" w:cs="宋体"/>
          <w:sz w:val="21"/>
          <w:lang w:eastAsia="zh-CN"/>
        </w:rPr>
        <w:t>；</w:t>
      </w:r>
      <w:r>
        <w:rPr>
          <w:rFonts w:hint="eastAsia" w:ascii="宋体" w:hAnsi="宋体" w:eastAsia="宋体" w:cs="宋体"/>
          <w:sz w:val="21"/>
        </w:rPr>
        <w:t>首轮“双一流”</w:t>
      </w:r>
      <w:r>
        <w:rPr>
          <w:rFonts w:hint="eastAsia" w:ascii="宋体" w:hAnsi="宋体" w:eastAsia="宋体" w:cs="宋体"/>
          <w:sz w:val="21"/>
          <w:lang w:val="en-US" w:eastAsia="zh-CN"/>
        </w:rPr>
        <w:t>学科</w:t>
      </w:r>
      <w:r>
        <w:rPr>
          <w:rFonts w:hint="eastAsia" w:ascii="宋体" w:hAnsi="宋体" w:eastAsia="宋体" w:cs="宋体"/>
          <w:sz w:val="21"/>
        </w:rPr>
        <w:t>建设成效评价结果在教育部反馈报告中均在“比较显著”档以上。</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lang w:val="en-US" w:eastAsia="zh-CN"/>
        </w:rPr>
        <w:t>5</w:t>
      </w:r>
      <w:r>
        <w:rPr>
          <w:rFonts w:hint="eastAsia" w:ascii="宋体" w:hAnsi="宋体" w:eastAsia="宋体" w:cs="宋体"/>
          <w:color w:val="auto"/>
          <w:sz w:val="22"/>
        </w:rPr>
        <w:t>.在师资队伍建设方面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ascii="宋体" w:hAnsi="宋体" w:eastAsia="宋体" w:cs="宋体"/>
          <w:sz w:val="21"/>
        </w:rPr>
      </w:pPr>
      <w:r>
        <w:rPr>
          <w:rFonts w:hint="eastAsia" w:ascii="宋体" w:hAnsi="宋体" w:eastAsia="宋体" w:cs="宋体"/>
          <w:color w:val="auto"/>
          <w:sz w:val="22"/>
        </w:rPr>
        <w:t>2021年全年新引进海外院士1人，国际宇航科学院（IAA）院士1人，国家级人才合计11人。新引进龙山学者签约4</w:t>
      </w:r>
      <w:r>
        <w:rPr>
          <w:rFonts w:hint="eastAsia" w:ascii="宋体" w:hAnsi="宋体" w:eastAsia="宋体" w:cs="宋体"/>
          <w:sz w:val="21"/>
        </w:rPr>
        <w:t>2人，已正式入职32人。2021年自主培育长江特聘、青年长江、国家杰青、国家优青、国家重点研发计划首席科学家等国家级人才8人，万人计划、教育部长江讲席学者、海外优青等9人；新增江苏双创人才、江苏特聘教授等省部级人才85人次，新增省部级创新团队2个、省级海外引才平台1个。</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lang w:val="en-US" w:eastAsia="zh-CN"/>
        </w:rPr>
        <w:t>6</w:t>
      </w:r>
      <w:r>
        <w:rPr>
          <w:rFonts w:hint="eastAsia" w:ascii="宋体" w:hAnsi="宋体" w:eastAsia="宋体" w:cs="宋体"/>
          <w:sz w:val="21"/>
        </w:rPr>
        <w:t>.在社会服务与文化传承方面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szCs w:val="21"/>
        </w:rPr>
      </w:pPr>
      <w:r>
        <w:rPr>
          <w:rFonts w:hint="eastAsia" w:ascii="宋体" w:hAnsi="宋体" w:eastAsia="宋体" w:cs="宋体"/>
          <w:sz w:val="21"/>
          <w:szCs w:val="21"/>
        </w:rPr>
        <w:t>我校智库影响力不断攀升，智库成果产出数量和质量均有明显提升。</w:t>
      </w:r>
      <w:r>
        <w:rPr>
          <w:rFonts w:ascii="宋体" w:hAnsi="宋体" w:eastAsia="宋体" w:cs="宋体"/>
          <w:sz w:val="21"/>
          <w:szCs w:val="21"/>
        </w:rPr>
        <w:t>2021</w:t>
      </w:r>
      <w:r>
        <w:rPr>
          <w:rFonts w:hint="eastAsia" w:ascii="宋体" w:hAnsi="宋体" w:eastAsia="宋体" w:cs="宋体"/>
          <w:sz w:val="21"/>
          <w:szCs w:val="21"/>
        </w:rPr>
        <w:t>年，我校智库决策咨询报告获地市级以上政府部门采纳</w:t>
      </w:r>
      <w:r>
        <w:rPr>
          <w:rFonts w:ascii="宋体" w:hAnsi="宋体" w:eastAsia="宋体" w:cs="宋体"/>
          <w:sz w:val="21"/>
          <w:szCs w:val="21"/>
        </w:rPr>
        <w:t>21</w:t>
      </w:r>
      <w:r>
        <w:rPr>
          <w:rFonts w:hint="eastAsia" w:ascii="宋体" w:hAnsi="宋体" w:eastAsia="宋体" w:cs="宋体"/>
          <w:sz w:val="21"/>
          <w:szCs w:val="21"/>
        </w:rPr>
        <w:t>项，相较上年度增长</w:t>
      </w:r>
      <w:r>
        <w:rPr>
          <w:rFonts w:ascii="宋体" w:hAnsi="宋体" w:eastAsia="宋体" w:cs="宋体"/>
          <w:sz w:val="21"/>
          <w:szCs w:val="21"/>
        </w:rPr>
        <w:t>40%</w:t>
      </w:r>
      <w:r>
        <w:rPr>
          <w:rFonts w:hint="eastAsia" w:ascii="宋体" w:hAnsi="宋体" w:eastAsia="宋体" w:cs="宋体"/>
          <w:sz w:val="21"/>
          <w:szCs w:val="21"/>
        </w:rPr>
        <w:t>，其中副省级以上批示采纳有</w:t>
      </w:r>
      <w:r>
        <w:rPr>
          <w:rFonts w:ascii="宋体" w:hAnsi="宋体" w:eastAsia="宋体" w:cs="宋体"/>
          <w:sz w:val="21"/>
          <w:szCs w:val="21"/>
        </w:rPr>
        <w:t>14</w:t>
      </w:r>
      <w:r>
        <w:rPr>
          <w:rFonts w:hint="eastAsia" w:ascii="宋体" w:hAnsi="宋体" w:eastAsia="宋体" w:cs="宋体"/>
          <w:sz w:val="21"/>
          <w:szCs w:val="21"/>
        </w:rPr>
        <w:t>项。</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szCs w:val="21"/>
        </w:rPr>
        <w:t>继续教育服务方面，不断加快学历教育向非学历教育并重转型发展，2021年度在7个省份的14个函授站开展招生工作，涵盖3个科类、15个专业，生源以江苏为主。学历教育学生数稳步提升，达10702人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疫情影响下全年培训收入稍逊预期</w:t>
      </w:r>
      <w:r>
        <w:rPr>
          <w:rFonts w:hint="eastAsia" w:ascii="宋体" w:hAnsi="宋体" w:eastAsia="宋体" w:cs="宋体"/>
          <w:sz w:val="21"/>
          <w:szCs w:val="21"/>
        </w:rPr>
        <w:t>。</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.在增进国际交流与合作方面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截止2021年</w:t>
      </w:r>
      <w:r>
        <w:rPr>
          <w:rFonts w:hint="eastAsia" w:ascii="宋体" w:hAnsi="宋体" w:eastAsia="宋体" w:cs="宋体"/>
          <w:sz w:val="21"/>
          <w:szCs w:val="21"/>
        </w:rPr>
        <w:t>年底</w:t>
      </w:r>
      <w:r>
        <w:rPr>
          <w:rFonts w:hint="eastAsia" w:ascii="宋体" w:hAnsi="宋体" w:eastAsia="宋体" w:cs="宋体"/>
          <w:sz w:val="21"/>
        </w:rPr>
        <w:t>，已建成国际交流平台（含中外合作科研机构、国际联合实验室、引智基地、校牵头或参与的国际联盟）数12个。留学生规模保持稳步增长，2021年我校留学生总规模1699人。运行的中外合作办学机构1个，项目2个。同时，随着国内疫情的逐渐平稳，在保证出国境交流安全的前提之下，线下境外交流逐步恢复，共有近百名学生先后赴澳门大学、澳门城市大学、澳门科技大学、爱尔兰沃特福德理工学院交流实习。国际学术会议数量总体与往年持平，学术效应和国际影响力良好。</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color w:val="auto"/>
          <w:sz w:val="22"/>
        </w:rPr>
      </w:pPr>
      <w:r>
        <w:rPr>
          <w:rFonts w:hint="eastAsia" w:ascii="宋体" w:hAnsi="宋体" w:eastAsia="宋体" w:cs="宋体"/>
          <w:sz w:val="21"/>
          <w:lang w:val="en-US" w:eastAsia="zh-CN"/>
        </w:rPr>
        <w:t>8</w:t>
      </w:r>
      <w:r>
        <w:rPr>
          <w:rFonts w:hint="eastAsia" w:ascii="宋体" w:hAnsi="宋体" w:eastAsia="宋体" w:cs="宋体"/>
          <w:sz w:val="21"/>
        </w:rPr>
        <w:t>.</w:t>
      </w:r>
      <w:r>
        <w:rPr>
          <w:rFonts w:hint="eastAsia" w:ascii="宋体" w:hAnsi="宋体" w:eastAsia="宋体" w:cs="宋体"/>
          <w:color w:val="auto"/>
          <w:sz w:val="22"/>
        </w:rPr>
        <w:t>在党的建设方面</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全年党建项目实施情况良好，优质党支部32个，全校现有2个省级特色党支部和15个校级特色党支部，党建研究课题立项结题率100%；干部培训完成年初计划人次的116%；校外培训完成全年计划的119%；基层党建提质增效达标；党员日常教育管理规范有序，较好完成全年党建各项工作任务。</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sz w:val="21"/>
        </w:rPr>
      </w:pPr>
      <w:r>
        <w:rPr>
          <w:rFonts w:hint="eastAsia" w:ascii="宋体" w:hAnsi="宋体" w:eastAsia="宋体" w:cs="宋体"/>
          <w:sz w:val="21"/>
        </w:rPr>
        <w:t>四、存在问题</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ascii="宋体" w:hAnsi="宋体" w:eastAsia="宋体" w:cs="宋体"/>
          <w:color w:val="auto"/>
          <w:sz w:val="22"/>
        </w:rPr>
      </w:pPr>
      <w:r>
        <w:rPr>
          <w:rFonts w:hint="eastAsia" w:ascii="宋体" w:hAnsi="宋体" w:eastAsia="宋体" w:cs="宋体"/>
          <w:sz w:val="21"/>
          <w:lang w:val="en-US" w:eastAsia="zh-CN"/>
        </w:rPr>
        <w:t>1.综合来看，</w:t>
      </w:r>
      <w:r>
        <w:rPr>
          <w:rFonts w:hint="eastAsia" w:ascii="宋体" w:hAnsi="宋体" w:eastAsia="宋体" w:cs="宋体"/>
          <w:sz w:val="21"/>
        </w:rPr>
        <w:t>虽然产出指标设定的目标值基本完成，但是指</w:t>
      </w:r>
      <w:r>
        <w:rPr>
          <w:rFonts w:hint="eastAsia" w:ascii="宋体" w:hAnsi="宋体" w:eastAsia="宋体" w:cs="宋体"/>
          <w:color w:val="auto"/>
          <w:sz w:val="22"/>
        </w:rPr>
        <w:t>标还需继续细化，指标值还需优化。</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ascii="宋体" w:hAnsi="宋体" w:eastAsia="宋体" w:cs="宋体"/>
          <w:color w:val="auto"/>
          <w:sz w:val="22"/>
        </w:rPr>
      </w:pPr>
      <w:r>
        <w:rPr>
          <w:rFonts w:hint="eastAsia" w:ascii="宋体" w:hAnsi="宋体" w:eastAsia="宋体" w:cs="宋体"/>
          <w:color w:val="auto"/>
          <w:sz w:val="22"/>
          <w:lang w:val="en-US" w:eastAsia="zh-CN"/>
        </w:rPr>
        <w:t>2.</w:t>
      </w:r>
      <w:r>
        <w:rPr>
          <w:rFonts w:hint="eastAsia" w:ascii="宋体" w:hAnsi="宋体" w:eastAsia="宋体" w:cs="宋体"/>
          <w:sz w:val="21"/>
        </w:rPr>
        <w:t>在学生培养方面，由于本次省级教学成果奖下达的申报指标数比上轮减少2个，导致获奖数量比预期少1个；由于2021年国家未启动规划教材申报，省重点教材取消了创业创新类教材指标，导致2021年省部级及规划教材总数比预期数量少1个。</w:t>
      </w:r>
      <w:r>
        <w:rPr>
          <w:rFonts w:hint="eastAsia" w:ascii="宋体" w:hAnsi="宋体" w:eastAsia="宋体" w:cs="宋体"/>
          <w:sz w:val="21"/>
          <w:lang w:val="en-US" w:eastAsia="zh-CN"/>
        </w:rPr>
        <w:t>因此，未来年度指标值设定上还需要全面考量，更精准细化。</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color w:val="auto"/>
          <w:sz w:val="22"/>
        </w:rPr>
      </w:pPr>
      <w:r>
        <w:rPr>
          <w:rFonts w:hint="eastAsia" w:ascii="宋体" w:hAnsi="宋体" w:eastAsia="宋体" w:cs="宋体"/>
          <w:color w:val="auto"/>
          <w:sz w:val="22"/>
          <w:lang w:val="en-US" w:eastAsia="zh-CN"/>
        </w:rPr>
        <w:t>3.</w:t>
      </w:r>
      <w:r>
        <w:rPr>
          <w:rFonts w:hint="eastAsia" w:ascii="宋体" w:hAnsi="宋体" w:eastAsia="宋体" w:cs="宋体"/>
          <w:color w:val="auto"/>
          <w:sz w:val="22"/>
        </w:rPr>
        <w:t>在科学研究方面</w:t>
      </w:r>
      <w:bookmarkEnd w:id="0"/>
      <w:r>
        <w:rPr>
          <w:rFonts w:hint="eastAsia" w:ascii="宋体" w:hAnsi="宋体" w:eastAsia="宋体" w:cs="宋体"/>
          <w:color w:val="auto"/>
          <w:sz w:val="22"/>
        </w:rPr>
        <w:t>，目前我校高层次项目可持续立项能力有待增强，高水平成果产出相对乏力；2021年专利经费投入较往年有所增长，主要由于专利申请数量增加，专利授权尤其是发明专利授权数量增加，年费相应增加</w:t>
      </w:r>
      <w:r>
        <w:rPr>
          <w:rFonts w:hint="eastAsia" w:ascii="宋体" w:hAnsi="宋体" w:eastAsia="宋体" w:cs="宋体"/>
          <w:color w:val="auto"/>
          <w:sz w:val="22"/>
          <w:lang w:eastAsia="zh-CN"/>
        </w:rPr>
        <w:t>，</w:t>
      </w:r>
      <w:r>
        <w:rPr>
          <w:rFonts w:hint="eastAsia" w:ascii="宋体" w:hAnsi="宋体" w:eastAsia="宋体" w:cs="宋体"/>
          <w:color w:val="auto"/>
          <w:sz w:val="22"/>
          <w:lang w:val="en-US" w:eastAsia="zh-CN"/>
        </w:rPr>
        <w:t>未来我校</w:t>
      </w:r>
      <w:r>
        <w:rPr>
          <w:rFonts w:hint="eastAsia" w:ascii="宋体" w:hAnsi="宋体" w:eastAsia="宋体" w:cs="宋体"/>
          <w:color w:val="auto"/>
          <w:sz w:val="22"/>
        </w:rPr>
        <w:t>需开展专利申请前评估、专利布局、产学研合作等工作，提升高价值专利数量和质量，从而提高专利转化效益</w:t>
      </w:r>
      <w:r>
        <w:rPr>
          <w:rFonts w:hint="eastAsia" w:ascii="宋体" w:hAnsi="宋体" w:eastAsia="宋体" w:cs="宋体"/>
          <w:color w:val="auto"/>
          <w:sz w:val="22"/>
          <w:lang w:eastAsia="zh-CN"/>
        </w:rPr>
        <w:t>；</w:t>
      </w:r>
      <w:r>
        <w:rPr>
          <w:rFonts w:hint="eastAsia" w:ascii="宋体" w:hAnsi="宋体" w:eastAsia="宋体" w:cs="宋体"/>
          <w:color w:val="auto"/>
          <w:sz w:val="22"/>
          <w:lang w:val="en-US" w:eastAsia="zh-CN"/>
        </w:rPr>
        <w:t>国家级平台数量未达到预期目标，主要因为相关主管部门还未开始这项工作，但校内已遴选出具有野外台站工作经历的科研人员参与野外科学观测研究站的论证申报，同时配合重大项目办做好国家重点实验室申报政策跟踪等前期准备工作。</w:t>
      </w:r>
    </w:p>
    <w:p>
      <w:pPr>
        <w:pBdr>
          <w:top w:val="single" w:color="000000" w:sz="4" w:space="0"/>
          <w:left w:val="single" w:color="000000" w:sz="4" w:space="0"/>
          <w:bottom w:val="single" w:color="000000" w:sz="4" w:space="0"/>
          <w:right w:val="single" w:color="000000" w:sz="4" w:space="0"/>
        </w:pBdr>
        <w:spacing w:after="0" w:line="360" w:lineRule="auto"/>
        <w:ind w:left="386" w:right="0" w:firstLine="420" w:firstLineChars="200"/>
        <w:rPr>
          <w:rFonts w:hint="eastAsia" w:ascii="宋体" w:hAnsi="宋体" w:eastAsia="宋体" w:cs="宋体"/>
          <w:sz w:val="21"/>
        </w:rPr>
      </w:pPr>
      <w:r>
        <w:rPr>
          <w:rFonts w:hint="eastAsia" w:ascii="宋体" w:hAnsi="宋体" w:eastAsia="宋体" w:cs="宋体"/>
          <w:sz w:val="21"/>
          <w:lang w:val="en-US" w:eastAsia="zh-CN"/>
        </w:rPr>
        <w:t>4.</w:t>
      </w:r>
      <w:r>
        <w:rPr>
          <w:rFonts w:hint="eastAsia" w:ascii="宋体" w:hAnsi="宋体" w:eastAsia="宋体" w:cs="宋体"/>
          <w:sz w:val="21"/>
        </w:rPr>
        <w:t>在师资队伍建设方面，因疫情影响和学校政策调整，</w:t>
      </w:r>
      <w:r>
        <w:rPr>
          <w:rFonts w:hint="eastAsia" w:ascii="宋体" w:hAnsi="宋体" w:eastAsia="宋体" w:cs="宋体"/>
          <w:sz w:val="21"/>
          <w:lang w:val="en-US" w:eastAsia="zh-CN"/>
        </w:rPr>
        <w:t>学校</w:t>
      </w:r>
      <w:r>
        <w:rPr>
          <w:rFonts w:hint="eastAsia" w:ascii="宋体" w:hAnsi="宋体" w:eastAsia="宋体" w:cs="宋体"/>
          <w:sz w:val="21"/>
        </w:rPr>
        <w:t>更重视对博士后创新创业能力培养，减少师资博士后招聘规模，使得新进站的博士后人数较预期指标有所下降。</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sz w:val="21"/>
        </w:rPr>
      </w:pPr>
      <w:r>
        <w:rPr>
          <w:rFonts w:hint="eastAsia" w:ascii="宋体" w:hAnsi="宋体" w:eastAsia="宋体" w:cs="宋体"/>
          <w:color w:val="auto"/>
          <w:sz w:val="22"/>
          <w:lang w:val="en-US" w:eastAsia="zh-CN"/>
        </w:rPr>
        <w:t>5.在</w:t>
      </w:r>
      <w:r>
        <w:rPr>
          <w:rFonts w:hint="eastAsia" w:ascii="宋体" w:hAnsi="宋体" w:eastAsia="宋体" w:cs="宋体"/>
          <w:color w:val="auto"/>
          <w:sz w:val="22"/>
        </w:rPr>
        <w:t>社会服务与文化传承方面，受新冠疫情常态化影响，加之线上培训新拓</w:t>
      </w:r>
      <w:r>
        <w:rPr>
          <w:rFonts w:hint="eastAsia" w:ascii="宋体" w:hAnsi="宋体" w:eastAsia="宋体" w:cs="宋体"/>
          <w:sz w:val="21"/>
        </w:rPr>
        <w:t>展项目不多，培训合作不稳定，造成培训收入不稳定，导致校外培训人次及培训收入</w:t>
      </w:r>
      <w:r>
        <w:rPr>
          <w:rFonts w:hint="eastAsia" w:ascii="宋体" w:hAnsi="宋体" w:eastAsia="宋体" w:cs="宋体"/>
          <w:sz w:val="21"/>
          <w:lang w:val="en-US" w:eastAsia="zh-CN"/>
        </w:rPr>
        <w:t>等</w:t>
      </w:r>
      <w:r>
        <w:rPr>
          <w:rFonts w:hint="eastAsia" w:ascii="宋体" w:hAnsi="宋体" w:eastAsia="宋体" w:cs="宋体"/>
          <w:sz w:val="21"/>
        </w:rPr>
        <w:t>均未达到年初计划数。</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sz w:val="21"/>
          <w:lang w:val="en-US" w:eastAsia="zh-CN"/>
        </w:rPr>
      </w:pPr>
      <w:r>
        <w:rPr>
          <w:rFonts w:hint="eastAsia" w:ascii="宋体" w:hAnsi="宋体" w:eastAsia="宋体" w:cs="宋体"/>
          <w:sz w:val="21"/>
          <w:lang w:val="en-US" w:eastAsia="zh-CN"/>
        </w:rPr>
        <w:t>6.在增进国际交流与合作方面，疫情常态化对学生出国境学习交流产生较大影响。</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sz w:val="21"/>
          <w:lang w:val="en-US" w:eastAsia="zh-CN"/>
        </w:rPr>
      </w:pPr>
      <w:r>
        <w:rPr>
          <w:rFonts w:hint="eastAsia" w:ascii="宋体" w:hAnsi="宋体" w:eastAsia="宋体" w:cs="宋体"/>
          <w:sz w:val="21"/>
          <w:lang w:val="en-US" w:eastAsia="zh-CN"/>
        </w:rPr>
        <w:t>五、有关建议</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sz w:val="21"/>
          <w:lang w:val="en-US" w:eastAsia="zh-CN"/>
        </w:rPr>
      </w:pPr>
      <w:r>
        <w:rPr>
          <w:rFonts w:hint="eastAsia" w:ascii="宋体" w:hAnsi="宋体" w:eastAsia="宋体" w:cs="宋体"/>
          <w:sz w:val="21"/>
          <w:lang w:val="en-US" w:eastAsia="zh-CN"/>
        </w:rPr>
        <w:t>1.结合各部门具体情况，进一步优化绩效指标，合理指定年初指标值，使绩效评价工作更贴合实际工作。</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sz w:val="21"/>
          <w:lang w:val="en-US" w:eastAsia="zh-CN"/>
        </w:rPr>
      </w:pPr>
      <w:r>
        <w:rPr>
          <w:rFonts w:hint="eastAsia" w:ascii="宋体" w:hAnsi="宋体" w:eastAsia="宋体" w:cs="宋体"/>
          <w:color w:val="auto"/>
          <w:sz w:val="22"/>
          <w:lang w:val="en-US" w:eastAsia="zh-CN"/>
        </w:rPr>
        <w:t>2.</w:t>
      </w:r>
      <w:r>
        <w:rPr>
          <w:rFonts w:hint="eastAsia" w:ascii="宋体" w:hAnsi="宋体" w:eastAsia="宋体" w:cs="宋体"/>
          <w:sz w:val="21"/>
        </w:rPr>
        <w:t>在学生培养方面，</w:t>
      </w:r>
      <w:r>
        <w:rPr>
          <w:rFonts w:hint="eastAsia" w:ascii="宋体" w:hAnsi="宋体" w:eastAsia="宋体" w:cs="宋体"/>
          <w:sz w:val="21"/>
          <w:lang w:val="en-US" w:eastAsia="zh-CN"/>
        </w:rPr>
        <w:t>未来年度指标值设定上还需要全面考量，更精准细化。</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color w:val="auto"/>
          <w:sz w:val="22"/>
        </w:rPr>
      </w:pPr>
      <w:r>
        <w:rPr>
          <w:rFonts w:hint="eastAsia" w:ascii="宋体" w:hAnsi="宋体" w:eastAsia="宋体" w:cs="宋体"/>
          <w:color w:val="auto"/>
          <w:sz w:val="22"/>
          <w:lang w:val="en-US" w:eastAsia="zh-CN"/>
        </w:rPr>
        <w:t>3.</w:t>
      </w:r>
      <w:r>
        <w:rPr>
          <w:rFonts w:hint="eastAsia" w:ascii="宋体" w:hAnsi="宋体" w:eastAsia="宋体" w:cs="宋体"/>
          <w:color w:val="auto"/>
          <w:sz w:val="22"/>
        </w:rPr>
        <w:t>在科学研究方面，</w:t>
      </w:r>
      <w:r>
        <w:rPr>
          <w:rFonts w:hint="eastAsia" w:ascii="宋体" w:hAnsi="宋体" w:eastAsia="宋体" w:cs="宋体"/>
          <w:color w:val="auto"/>
          <w:sz w:val="22"/>
          <w:lang w:val="en-US" w:eastAsia="zh-CN"/>
        </w:rPr>
        <w:t>未来我校</w:t>
      </w:r>
      <w:r>
        <w:rPr>
          <w:rFonts w:hint="eastAsia" w:ascii="宋体" w:hAnsi="宋体" w:eastAsia="宋体" w:cs="宋体"/>
          <w:color w:val="auto"/>
          <w:sz w:val="22"/>
        </w:rPr>
        <w:t>需开展专利申请前评估、专利布局、产学研合作等工作，提升高价值专利数量和质量，从而提高专利转化效益</w:t>
      </w:r>
      <w:r>
        <w:rPr>
          <w:rFonts w:hint="eastAsia" w:ascii="宋体" w:hAnsi="宋体" w:eastAsia="宋体" w:cs="宋体"/>
          <w:color w:val="auto"/>
          <w:sz w:val="22"/>
          <w:lang w:eastAsia="zh-CN"/>
        </w:rPr>
        <w:t>。</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sz w:val="21"/>
          <w:lang w:eastAsia="zh-CN"/>
        </w:rPr>
      </w:pPr>
      <w:r>
        <w:rPr>
          <w:rFonts w:hint="eastAsia" w:ascii="宋体" w:hAnsi="宋体" w:eastAsia="宋体" w:cs="宋体"/>
          <w:sz w:val="21"/>
          <w:lang w:val="en-US" w:eastAsia="zh-CN"/>
        </w:rPr>
        <w:t>4.在增进国际交流与合作方面，</w:t>
      </w:r>
      <w:r>
        <w:rPr>
          <w:rFonts w:hint="eastAsia" w:ascii="宋体" w:hAnsi="宋体" w:eastAsia="宋体" w:cs="宋体"/>
          <w:sz w:val="21"/>
        </w:rPr>
        <w:t>后疫情时代，</w:t>
      </w:r>
      <w:r>
        <w:rPr>
          <w:rFonts w:hint="eastAsia" w:ascii="宋体" w:hAnsi="宋体" w:eastAsia="宋体" w:cs="宋体"/>
          <w:sz w:val="21"/>
          <w:lang w:val="en-US" w:eastAsia="zh-CN"/>
        </w:rPr>
        <w:t>学校需要</w:t>
      </w:r>
      <w:r>
        <w:rPr>
          <w:rFonts w:hint="eastAsia" w:ascii="宋体" w:hAnsi="宋体" w:eastAsia="宋体" w:cs="宋体"/>
          <w:sz w:val="21"/>
        </w:rPr>
        <w:t>在现有的资源上实现创新，实现在地国际化，以更好地营造全校的国际化氛围</w:t>
      </w:r>
      <w:r>
        <w:rPr>
          <w:rFonts w:hint="eastAsia" w:ascii="宋体" w:hAnsi="宋体" w:eastAsia="宋体" w:cs="宋体"/>
          <w:sz w:val="21"/>
          <w:lang w:eastAsia="zh-CN"/>
        </w:rPr>
        <w:t>。</w:t>
      </w:r>
    </w:p>
    <w:p>
      <w:pPr>
        <w:pBdr>
          <w:top w:val="single" w:color="000000" w:sz="4" w:space="0"/>
          <w:left w:val="single" w:color="000000" w:sz="4" w:space="0"/>
          <w:bottom w:val="single" w:color="000000" w:sz="4" w:space="0"/>
          <w:right w:val="single" w:color="000000" w:sz="4" w:space="0"/>
        </w:pBdr>
        <w:spacing w:after="0" w:line="360" w:lineRule="auto"/>
        <w:ind w:left="386" w:right="0" w:firstLine="440" w:firstLineChars="200"/>
        <w:rPr>
          <w:rFonts w:hint="eastAsia" w:ascii="宋体" w:hAnsi="宋体" w:eastAsia="宋体" w:cs="宋体"/>
          <w:color w:val="auto"/>
          <w:sz w:val="22"/>
          <w:lang w:val="en-US" w:eastAsia="zh-CN"/>
        </w:rPr>
      </w:pPr>
    </w:p>
    <w:sectPr>
      <w:headerReference r:id="rId3" w:type="default"/>
      <w:footerReference r:id="rId4" w:type="default"/>
      <w:pgSz w:w="11906" w:h="16838"/>
      <w:pgMar w:top="756" w:right="1404" w:bottom="1333" w:left="152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微软雅黑"/>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40575936">
    <w:nsid w:val="61C933C0"/>
    <w:multiLevelType w:val="singleLevel"/>
    <w:tmpl w:val="61C933C0"/>
    <w:lvl w:ilvl="0" w:tentative="1">
      <w:start w:val="2"/>
      <w:numFmt w:val="decimal"/>
      <w:suff w:val="nothing"/>
      <w:lvlText w:val="%1."/>
      <w:lvlJc w:val="left"/>
    </w:lvl>
  </w:abstractNum>
  <w:num w:numId="1">
    <w:abstractNumId w:val="16405759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3EA11630"/>
    <w:rsid w:val="000B5865"/>
    <w:rsid w:val="00424358"/>
    <w:rsid w:val="007531E1"/>
    <w:rsid w:val="007E1F2C"/>
    <w:rsid w:val="00816EBF"/>
    <w:rsid w:val="00A1007D"/>
    <w:rsid w:val="04454FF9"/>
    <w:rsid w:val="04792B65"/>
    <w:rsid w:val="06533B18"/>
    <w:rsid w:val="09F41D6D"/>
    <w:rsid w:val="0BE35482"/>
    <w:rsid w:val="0C3C0F67"/>
    <w:rsid w:val="0D86267D"/>
    <w:rsid w:val="0E2C1EAC"/>
    <w:rsid w:val="0FE648B3"/>
    <w:rsid w:val="117D74DC"/>
    <w:rsid w:val="11E418DD"/>
    <w:rsid w:val="124F2240"/>
    <w:rsid w:val="140D1E52"/>
    <w:rsid w:val="14490FCF"/>
    <w:rsid w:val="21370009"/>
    <w:rsid w:val="2862484D"/>
    <w:rsid w:val="296422FE"/>
    <w:rsid w:val="29BE197D"/>
    <w:rsid w:val="30966D54"/>
    <w:rsid w:val="31574787"/>
    <w:rsid w:val="32EB4F53"/>
    <w:rsid w:val="38B31028"/>
    <w:rsid w:val="3C2C772F"/>
    <w:rsid w:val="3C7D574B"/>
    <w:rsid w:val="3EA11630"/>
    <w:rsid w:val="3F381A93"/>
    <w:rsid w:val="42F700B5"/>
    <w:rsid w:val="43774E65"/>
    <w:rsid w:val="46BC6E4E"/>
    <w:rsid w:val="47403491"/>
    <w:rsid w:val="48EA58AA"/>
    <w:rsid w:val="49297B48"/>
    <w:rsid w:val="49EE220F"/>
    <w:rsid w:val="4E8A438A"/>
    <w:rsid w:val="4F542771"/>
    <w:rsid w:val="52901C7B"/>
    <w:rsid w:val="5478286F"/>
    <w:rsid w:val="56EE4E96"/>
    <w:rsid w:val="577B56B2"/>
    <w:rsid w:val="598E66B2"/>
    <w:rsid w:val="59F07161"/>
    <w:rsid w:val="5A2344D4"/>
    <w:rsid w:val="5C0D4FD0"/>
    <w:rsid w:val="62AD6D24"/>
    <w:rsid w:val="64636133"/>
    <w:rsid w:val="64EC5A88"/>
    <w:rsid w:val="66C12665"/>
    <w:rsid w:val="698C0CBF"/>
    <w:rsid w:val="6A762C24"/>
    <w:rsid w:val="6A8A1560"/>
    <w:rsid w:val="6A9C7C12"/>
    <w:rsid w:val="6E5969FE"/>
    <w:rsid w:val="70981A9D"/>
    <w:rsid w:val="715A1923"/>
    <w:rsid w:val="73F40AC2"/>
    <w:rsid w:val="758B358A"/>
    <w:rsid w:val="7993076A"/>
    <w:rsid w:val="79C92914"/>
    <w:rsid w:val="7C4012B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 w:line="341" w:lineRule="auto"/>
      <w:ind w:right="122" w:firstLine="640"/>
    </w:pPr>
    <w:rPr>
      <w:rFonts w:ascii="微软雅黑" w:hAnsi="微软雅黑" w:eastAsia="微软雅黑" w:cs="微软雅黑"/>
      <w:color w:val="000000"/>
      <w:kern w:val="2"/>
      <w:sz w:val="32"/>
      <w:szCs w:val="22"/>
      <w:lang w:val="en-US" w:eastAsia="zh-CN" w:bidi="ar-SA"/>
    </w:rPr>
  </w:style>
  <w:style w:type="paragraph" w:styleId="2">
    <w:name w:val="heading 2"/>
    <w:next w:val="1"/>
    <w:unhideWhenUsed/>
    <w:qFormat/>
    <w:uiPriority w:val="0"/>
    <w:pPr>
      <w:keepNext/>
      <w:keepLines/>
      <w:spacing w:after="98" w:line="259" w:lineRule="auto"/>
      <w:ind w:left="10" w:right="123" w:hanging="10"/>
      <w:jc w:val="center"/>
      <w:outlineLvl w:val="1"/>
    </w:pPr>
    <w:rPr>
      <w:rFonts w:ascii="黑体" w:hAnsi="黑体" w:eastAsia="黑体" w:cs="Times New Roman"/>
      <w:color w:val="000000"/>
      <w:sz w:val="36"/>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spacing w:line="240" w:lineRule="auto"/>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脚 Char"/>
    <w:basedOn w:val="5"/>
    <w:link w:val="3"/>
    <w:qFormat/>
    <w:uiPriority w:val="0"/>
    <w:rPr>
      <w:rFonts w:ascii="微软雅黑" w:hAnsi="微软雅黑" w:eastAsia="微软雅黑" w:cs="微软雅黑"/>
      <w:color w:val="000000"/>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651</Words>
  <Characters>3716</Characters>
  <Lines>30</Lines>
  <Paragraphs>8</Paragraphs>
  <ScaleCrop>false</ScaleCrop>
  <LinksUpToDate>false</LinksUpToDate>
  <CharactersWithSpaces>4359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2021-12-25T02:22:00Z</dcterms:created>
  <dc:creator>Administrator</dc:creator>
  <cp:lastModifiedBy>Administrator</cp:lastModifiedBy>
  <cp:lastPrinted>2022-06-16T01:16:12Z</cp:lastPrinted>
  <dcterms:modified xsi:type="dcterms:W3CDTF">2022-06-16T01:17:34Z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